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5C63" w:rsidRDefault="00235C63" w:rsidP="00666BBA">
      <w:pPr>
        <w:jc w:val="center"/>
      </w:pPr>
    </w:p>
    <w:p w:rsidR="00235C63" w:rsidRDefault="00235C63" w:rsidP="00666BBA">
      <w:pPr>
        <w:jc w:val="center"/>
      </w:pPr>
    </w:p>
    <w:p w:rsidR="00235C63" w:rsidRDefault="00235C63" w:rsidP="00666BBA">
      <w:pPr>
        <w:jc w:val="center"/>
      </w:pPr>
    </w:p>
    <w:p w:rsidR="00666BBA" w:rsidRPr="001D5AAF" w:rsidRDefault="00522128" w:rsidP="00666BBA">
      <w:pPr>
        <w:jc w:val="center"/>
      </w:pPr>
      <w:r w:rsidRPr="001D5AAF">
        <w:t>Student’s name</w:t>
      </w:r>
    </w:p>
    <w:p w:rsidR="00666BBA" w:rsidRPr="001D5AAF" w:rsidRDefault="00522128" w:rsidP="00666BBA">
      <w:pPr>
        <w:jc w:val="center"/>
      </w:pPr>
      <w:r w:rsidRPr="001D5AAF">
        <w:t>Instructor’s name</w:t>
      </w:r>
    </w:p>
    <w:p w:rsidR="00666BBA" w:rsidRPr="001D5AAF" w:rsidRDefault="00522128" w:rsidP="00666BBA">
      <w:pPr>
        <w:jc w:val="center"/>
      </w:pPr>
      <w:r w:rsidRPr="001D5AAF">
        <w:t>Course number</w:t>
      </w:r>
    </w:p>
    <w:p w:rsidR="00666BBA" w:rsidRPr="001D5AAF" w:rsidRDefault="00522128" w:rsidP="00666BBA">
      <w:pPr>
        <w:jc w:val="center"/>
      </w:pPr>
      <w:r w:rsidRPr="001D5AAF">
        <w:t>Section number</w:t>
      </w:r>
    </w:p>
    <w:p w:rsidR="00666BBA" w:rsidRPr="001D5AAF" w:rsidRDefault="00522128" w:rsidP="00666BBA">
      <w:pPr>
        <w:jc w:val="center"/>
      </w:pPr>
      <w:r w:rsidRPr="001D5AAF">
        <w:t>Institution affiliation</w:t>
      </w:r>
    </w:p>
    <w:p w:rsidR="00666BBA" w:rsidRDefault="00522128" w:rsidP="00666BBA">
      <w:pPr>
        <w:jc w:val="center"/>
      </w:pPr>
      <w:r w:rsidRPr="001D5AAF">
        <w:t>Date</w:t>
      </w:r>
    </w:p>
    <w:p w:rsidR="00666BBA" w:rsidRDefault="00522128">
      <w:pPr>
        <w:spacing w:line="259" w:lineRule="auto"/>
        <w:ind w:left="0"/>
      </w:pPr>
      <w:r>
        <w:br w:type="page"/>
      </w:r>
    </w:p>
    <w:p w:rsidR="004F5B90" w:rsidRPr="00235C63" w:rsidRDefault="00522128" w:rsidP="00235C63">
      <w:pPr>
        <w:ind w:left="0" w:firstLine="720"/>
        <w:rPr>
          <w:rFonts w:cs="Times New Roman"/>
          <w:szCs w:val="24"/>
        </w:rPr>
      </w:pPr>
      <w:r w:rsidRPr="00235C63">
        <w:rPr>
          <w:rFonts w:cs="Times New Roman"/>
          <w:szCs w:val="24"/>
        </w:rPr>
        <w:lastRenderedPageBreak/>
        <w:t xml:space="preserve">In a firm or any other organization/institution, fixed and variable expenses play a significant role. All of the company's expenses are split down into </w:t>
      </w:r>
      <w:r w:rsidRPr="00235C63">
        <w:rPr>
          <w:rFonts w:cs="Times New Roman"/>
          <w:szCs w:val="24"/>
        </w:rPr>
        <w:t>fixed and variable expenses. Fixed costs are unaffected by output, but variable costs fluctuate. It's also called "mixed cost" on occasion. The following is a list of the projects presented to the CFO: methods to cost behavior analysis, patiently waiting f</w:t>
      </w:r>
      <w:r w:rsidRPr="00235C63">
        <w:rPr>
          <w:rFonts w:cs="Times New Roman"/>
          <w:szCs w:val="24"/>
        </w:rPr>
        <w:t>or adequate compensation, and creating a separate expenditure sheet for any minor outlays.</w:t>
      </w:r>
    </w:p>
    <w:p w:rsidR="004F5B90" w:rsidRPr="00235C63" w:rsidRDefault="00522128" w:rsidP="00235C63">
      <w:pPr>
        <w:ind w:left="0" w:firstLine="720"/>
        <w:rPr>
          <w:rFonts w:cs="Times New Roman"/>
          <w:szCs w:val="24"/>
        </w:rPr>
      </w:pPr>
      <w:r w:rsidRPr="00235C63">
        <w:rPr>
          <w:rFonts w:cs="Times New Roman"/>
          <w:szCs w:val="24"/>
        </w:rPr>
        <w:t>The cost-cutting strategies used by hospitals are entirely dependent on how they spend their money and how they disguise the unaffordable costs. Equipment, building,</w:t>
      </w:r>
      <w:r w:rsidRPr="00235C63">
        <w:rPr>
          <w:rFonts w:cs="Times New Roman"/>
          <w:szCs w:val="24"/>
        </w:rPr>
        <w:t xml:space="preserve"> labor, and fixed overhead account for the bulk of the costs covered by the hospital. All of these variables have astronomically high maintenance costs.</w:t>
      </w:r>
      <w:r w:rsidR="00235C63" w:rsidRPr="00235C63">
        <w:rPr>
          <w:rFonts w:cs="Times New Roman"/>
          <w:szCs w:val="24"/>
          <w:shd w:val="clear" w:color="auto" w:fill="FFFFFF"/>
        </w:rPr>
        <w:t xml:space="preserve"> (Kim 2019).</w:t>
      </w:r>
    </w:p>
    <w:p w:rsidR="004F5B90" w:rsidRPr="00235C63" w:rsidRDefault="00522128" w:rsidP="00235C63">
      <w:pPr>
        <w:ind w:left="0" w:firstLine="720"/>
        <w:rPr>
          <w:rFonts w:cs="Times New Roman"/>
          <w:szCs w:val="24"/>
        </w:rPr>
      </w:pPr>
      <w:r w:rsidRPr="00235C63">
        <w:rPr>
          <w:rFonts w:cs="Times New Roman"/>
          <w:szCs w:val="24"/>
        </w:rPr>
        <w:t>The cost behavior approach refers to the link between costs and the volume of services prov</w:t>
      </w:r>
      <w:r w:rsidRPr="00235C63">
        <w:rPr>
          <w:rFonts w:cs="Times New Roman"/>
          <w:szCs w:val="24"/>
        </w:rPr>
        <w:t xml:space="preserve">ided by a hospital. The fundamental cost structure is another name for this. The CFO may anticipate cost behavior at a distinct level of operations if the hospital knows its cost behavior. </w:t>
      </w:r>
    </w:p>
    <w:p w:rsidR="004F5B90" w:rsidRPr="00235C63" w:rsidRDefault="00522128" w:rsidP="00235C63">
      <w:pPr>
        <w:jc w:val="center"/>
        <w:rPr>
          <w:rFonts w:cs="Times New Roman"/>
          <w:szCs w:val="24"/>
        </w:rPr>
      </w:pPr>
      <w:r w:rsidRPr="00235C63">
        <w:rPr>
          <w:rFonts w:cs="Times New Roman"/>
          <w:szCs w:val="24"/>
        </w:rPr>
        <w:t>Summary of the Recommendation:</w:t>
      </w:r>
    </w:p>
    <w:p w:rsidR="004F5B90" w:rsidRPr="00235C63" w:rsidRDefault="00522128" w:rsidP="00235C63">
      <w:pPr>
        <w:rPr>
          <w:rFonts w:cs="Times New Roman"/>
          <w:szCs w:val="24"/>
        </w:rPr>
      </w:pPr>
      <w:r w:rsidRPr="00235C63">
        <w:rPr>
          <w:rFonts w:cs="Times New Roman"/>
          <w:szCs w:val="24"/>
        </w:rPr>
        <w:t>For the sake of decision-making, an</w:t>
      </w:r>
      <w:r w:rsidRPr="00235C63">
        <w:rPr>
          <w:rFonts w:cs="Times New Roman"/>
          <w:szCs w:val="24"/>
        </w:rPr>
        <w:t xml:space="preserve"> overview of fixed and variable costs is provided.</w:t>
      </w:r>
    </w:p>
    <w:p w:rsidR="004F5B90" w:rsidRPr="00235C63" w:rsidRDefault="00522128" w:rsidP="00235C63">
      <w:pPr>
        <w:rPr>
          <w:rFonts w:cs="Times New Roman"/>
          <w:szCs w:val="24"/>
        </w:rPr>
      </w:pPr>
      <w:r w:rsidRPr="00235C63">
        <w:rPr>
          <w:rFonts w:cs="Times New Roman"/>
          <w:szCs w:val="24"/>
        </w:rPr>
        <w:t>Procedure for determining hospital expenditures that aren't readily apparent Decision-making authority in the event of a closure or a downturn outline the factors that must be considered to reduce hospital</w:t>
      </w:r>
      <w:r w:rsidRPr="00235C63">
        <w:rPr>
          <w:rFonts w:cs="Times New Roman"/>
          <w:szCs w:val="24"/>
        </w:rPr>
        <w:t xml:space="preserve"> waste cost. Concentrate on the aspects of the service that you're providing. Avoid variables that harm hospital and economic forums' performance.</w:t>
      </w:r>
    </w:p>
    <w:p w:rsidR="004F5B90" w:rsidRPr="00235C63" w:rsidRDefault="004F5B90" w:rsidP="00235C63">
      <w:pPr>
        <w:rPr>
          <w:rFonts w:cs="Times New Roman"/>
          <w:szCs w:val="24"/>
        </w:rPr>
      </w:pPr>
    </w:p>
    <w:p w:rsidR="004F5B90" w:rsidRPr="00235C63" w:rsidRDefault="004F5B90" w:rsidP="00235C63">
      <w:pPr>
        <w:tabs>
          <w:tab w:val="left" w:pos="2670"/>
        </w:tabs>
        <w:rPr>
          <w:rFonts w:cs="Times New Roman"/>
          <w:b/>
          <w:bCs/>
          <w:szCs w:val="24"/>
        </w:rPr>
      </w:pPr>
    </w:p>
    <w:p w:rsidR="00A217F6" w:rsidRPr="00235C63" w:rsidRDefault="00522128" w:rsidP="00235C63">
      <w:pPr>
        <w:tabs>
          <w:tab w:val="left" w:pos="2670"/>
        </w:tabs>
        <w:jc w:val="center"/>
        <w:rPr>
          <w:rFonts w:cs="Times New Roman"/>
          <w:szCs w:val="24"/>
        </w:rPr>
      </w:pPr>
      <w:r w:rsidRPr="00235C63">
        <w:rPr>
          <w:rFonts w:cs="Times New Roman"/>
          <w:b/>
          <w:bCs/>
          <w:szCs w:val="24"/>
        </w:rPr>
        <w:t>Hospitals cost behavior</w:t>
      </w:r>
    </w:p>
    <w:p w:rsidR="00A217F6" w:rsidRPr="00235C63" w:rsidRDefault="00522128" w:rsidP="00235C63">
      <w:pPr>
        <w:tabs>
          <w:tab w:val="left" w:pos="2670"/>
        </w:tabs>
        <w:rPr>
          <w:rFonts w:cs="Times New Roman"/>
          <w:b/>
          <w:bCs/>
          <w:szCs w:val="24"/>
        </w:rPr>
      </w:pPr>
      <w:r w:rsidRPr="00235C63">
        <w:rPr>
          <w:rFonts w:cs="Times New Roman"/>
          <w:b/>
          <w:bCs/>
          <w:szCs w:val="24"/>
        </w:rPr>
        <w:lastRenderedPageBreak/>
        <w:t>Fixed costs</w:t>
      </w:r>
    </w:p>
    <w:p w:rsidR="00A217F6" w:rsidRPr="00235C63" w:rsidRDefault="00522128" w:rsidP="00235C63">
      <w:pPr>
        <w:tabs>
          <w:tab w:val="left" w:pos="2670"/>
        </w:tabs>
        <w:rPr>
          <w:rFonts w:cs="Times New Roman"/>
          <w:szCs w:val="24"/>
        </w:rPr>
      </w:pPr>
      <w:r w:rsidRPr="00235C63">
        <w:rPr>
          <w:rFonts w:cs="Times New Roman"/>
          <w:szCs w:val="24"/>
        </w:rPr>
        <w:t xml:space="preserve">Fixed costs are those that remain constant regardless of the degree of </w:t>
      </w:r>
      <w:r w:rsidRPr="00235C63">
        <w:rPr>
          <w:rFonts w:cs="Times New Roman"/>
          <w:szCs w:val="24"/>
        </w:rPr>
        <w:t>activity in the relevant spectrum. Even when no units are created, these expenses will be spent—expenses such as rent, straight-line depreciation, and so on. With increased output, the fixed cost per unit lowers.</w:t>
      </w:r>
      <w:r w:rsidR="00235C63" w:rsidRPr="00235C63">
        <w:rPr>
          <w:rFonts w:cs="Times New Roman"/>
          <w:szCs w:val="24"/>
          <w:shd w:val="clear" w:color="auto" w:fill="FFFFFF"/>
        </w:rPr>
        <w:t xml:space="preserve"> (Walus 2021).</w:t>
      </w:r>
    </w:p>
    <w:p w:rsidR="00EB1A98" w:rsidRPr="00235C63" w:rsidRDefault="00522128" w:rsidP="00235C63">
      <w:pPr>
        <w:tabs>
          <w:tab w:val="left" w:pos="2670"/>
        </w:tabs>
        <w:rPr>
          <w:rFonts w:cs="Times New Roman"/>
          <w:szCs w:val="24"/>
        </w:rPr>
      </w:pPr>
      <w:r w:rsidRPr="00235C63">
        <w:rPr>
          <w:rFonts w:cs="Times New Roman"/>
          <w:noProof/>
          <w:szCs w:val="24"/>
        </w:rPr>
        <w:drawing>
          <wp:inline distT="0" distB="0" distL="0" distR="0">
            <wp:extent cx="5314950" cy="1990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</w:r>
      <w:r w:rsidR="0052212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.15pt;height:1.15pt">
            <v:imagedata r:id="rId8"/>
          </v:shape>
        </w:pict>
      </w:r>
    </w:p>
    <w:p w:rsidR="00EB1A98" w:rsidRPr="00235C63" w:rsidRDefault="00522128" w:rsidP="00235C63">
      <w:pPr>
        <w:tabs>
          <w:tab w:val="left" w:pos="2670"/>
        </w:tabs>
        <w:rPr>
          <w:rFonts w:cs="Times New Roman"/>
          <w:b/>
          <w:bCs/>
          <w:szCs w:val="24"/>
        </w:rPr>
      </w:pPr>
      <w:r w:rsidRPr="00235C63">
        <w:rPr>
          <w:rFonts w:cs="Times New Roman"/>
          <w:b/>
          <w:bCs/>
          <w:szCs w:val="24"/>
        </w:rPr>
        <w:t>Variable costs</w:t>
      </w:r>
    </w:p>
    <w:p w:rsidR="00EB1A98" w:rsidRPr="00235C63" w:rsidRDefault="00522128" w:rsidP="00235C63">
      <w:pPr>
        <w:tabs>
          <w:tab w:val="left" w:pos="2670"/>
        </w:tabs>
        <w:rPr>
          <w:rFonts w:cs="Times New Roman"/>
          <w:szCs w:val="24"/>
        </w:rPr>
      </w:pPr>
      <w:r w:rsidRPr="0013501E">
        <w:rPr>
          <w:rFonts w:cs="Times New Roman"/>
          <w:szCs w:val="24"/>
        </w:rPr>
        <w:t xml:space="preserve">Costs that change in exact correlation to production levels are called variable costs. This means that the total variable cost increases as the quantity produced </w:t>
      </w:r>
      <w:r w:rsidRPr="0013501E">
        <w:rPr>
          <w:rFonts w:cs="Times New Roman"/>
          <w:szCs w:val="24"/>
        </w:rPr>
        <w:t>increases and decreases as the quantity produced decreases. The mean variable costs do not change.</w:t>
      </w:r>
      <w:r w:rsidR="00235C63" w:rsidRPr="00235C63">
        <w:rPr>
          <w:rFonts w:cs="Times New Roman"/>
          <w:szCs w:val="24"/>
        </w:rPr>
        <w:t xml:space="preserve"> (</w:t>
      </w:r>
      <w:r w:rsidR="00235C63" w:rsidRPr="00235C63">
        <w:rPr>
          <w:rFonts w:cs="Times New Roman"/>
          <w:szCs w:val="24"/>
          <w:shd w:val="clear" w:color="auto" w:fill="FFFFFF"/>
        </w:rPr>
        <w:t>Ranieri, 2020).</w:t>
      </w:r>
    </w:p>
    <w:p w:rsidR="00EB1A98" w:rsidRPr="00235C63" w:rsidRDefault="00522128" w:rsidP="00235C63">
      <w:pPr>
        <w:tabs>
          <w:tab w:val="left" w:pos="2670"/>
        </w:tabs>
        <w:jc w:val="center"/>
        <w:rPr>
          <w:rFonts w:cs="Times New Roman"/>
          <w:noProof/>
          <w:szCs w:val="24"/>
        </w:rPr>
      </w:pPr>
      <w:r w:rsidRPr="00235C63">
        <w:rPr>
          <w:rFonts w:cs="Times New Roman"/>
          <w:noProof/>
          <w:szCs w:val="24"/>
        </w:rPr>
        <w:drawing>
          <wp:inline distT="0" distB="0" distL="0" distR="0">
            <wp:extent cx="5314950" cy="1990725"/>
            <wp:effectExtent l="0" t="0" r="0" b="0"/>
            <wp:docPr id="2" name="Picture 2" descr="Total and Per Unit Variable Cost Behavior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Total and Per Unit Variable Cost Behavior Grap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B72" w:rsidRPr="00235C63" w:rsidRDefault="00EC4B72" w:rsidP="00235C63">
      <w:pPr>
        <w:tabs>
          <w:tab w:val="left" w:pos="4470"/>
        </w:tabs>
        <w:rPr>
          <w:rFonts w:cs="Times New Roman"/>
          <w:b/>
          <w:bCs/>
          <w:szCs w:val="24"/>
        </w:rPr>
      </w:pPr>
    </w:p>
    <w:p w:rsidR="00EC4B72" w:rsidRPr="00235C63" w:rsidRDefault="00522128" w:rsidP="00235C63">
      <w:pPr>
        <w:tabs>
          <w:tab w:val="left" w:pos="4470"/>
        </w:tabs>
        <w:rPr>
          <w:rFonts w:cs="Times New Roman"/>
          <w:b/>
          <w:bCs/>
          <w:szCs w:val="24"/>
        </w:rPr>
      </w:pPr>
      <w:r w:rsidRPr="00235C63">
        <w:rPr>
          <w:rFonts w:cs="Times New Roman"/>
          <w:b/>
          <w:bCs/>
          <w:szCs w:val="24"/>
        </w:rPr>
        <w:t>Cost drivers</w:t>
      </w:r>
    </w:p>
    <w:p w:rsidR="00EC4B72" w:rsidRPr="00235C63" w:rsidRDefault="00522128" w:rsidP="00235C63">
      <w:pPr>
        <w:tabs>
          <w:tab w:val="left" w:pos="4470"/>
        </w:tabs>
        <w:rPr>
          <w:rFonts w:cs="Times New Roman"/>
          <w:szCs w:val="24"/>
        </w:rPr>
      </w:pPr>
      <w:r w:rsidRPr="00235C63">
        <w:rPr>
          <w:rFonts w:cs="Times New Roman"/>
          <w:szCs w:val="24"/>
        </w:rPr>
        <w:t>A cost driver is the source of a cost, and it impacts the overall cost. For example, if you want to figure out how much powe</w:t>
      </w:r>
      <w:r w:rsidRPr="00235C63">
        <w:rPr>
          <w:rFonts w:cs="Times New Roman"/>
          <w:szCs w:val="24"/>
        </w:rPr>
        <w:t xml:space="preserve">r you used at a certain time, the number of </w:t>
      </w:r>
      <w:r w:rsidR="004F5B90" w:rsidRPr="00235C63">
        <w:rPr>
          <w:rFonts w:cs="Times New Roman"/>
          <w:szCs w:val="24"/>
        </w:rPr>
        <w:t>units</w:t>
      </w:r>
      <w:r w:rsidRPr="00235C63">
        <w:rPr>
          <w:rFonts w:cs="Times New Roman"/>
          <w:szCs w:val="24"/>
        </w:rPr>
        <w:t xml:space="preserve"> you used affects your total cost. The number of units of power used becomes a cost driver in such a circumstance.</w:t>
      </w:r>
    </w:p>
    <w:p w:rsidR="007D3E05" w:rsidRPr="007D3E05" w:rsidRDefault="00522128" w:rsidP="007D3E05">
      <w:pPr>
        <w:tabs>
          <w:tab w:val="left" w:pos="4470"/>
        </w:tabs>
        <w:rPr>
          <w:rFonts w:cs="Times New Roman"/>
          <w:szCs w:val="24"/>
        </w:rPr>
      </w:pPr>
      <w:r w:rsidRPr="007D3E05">
        <w:rPr>
          <w:rFonts w:cs="Times New Roman"/>
          <w:szCs w:val="24"/>
        </w:rPr>
        <w:t>The cost behavior of hospitals is determined by the relationship between expenditures and th</w:t>
      </w:r>
      <w:r w:rsidRPr="007D3E05">
        <w:rPr>
          <w:rFonts w:cs="Times New Roman"/>
          <w:szCs w:val="24"/>
        </w:rPr>
        <w:t>e number of services provided. It's also known as the underlying cost structure or the cost behavior method. The CFO may anticipate the cost factors at a particular operational level if the hospital sets its cost behavior. It nearly completely covers the h</w:t>
      </w:r>
      <w:r w:rsidRPr="007D3E05">
        <w:rPr>
          <w:rFonts w:cs="Times New Roman"/>
          <w:szCs w:val="24"/>
        </w:rPr>
        <w:t>ospital's cost-to-change ratio as well as the expected cost per procedure. (According to Larson, the year is 2021.)</w:t>
      </w:r>
    </w:p>
    <w:p w:rsidR="007D3E05" w:rsidRPr="007D3E05" w:rsidRDefault="00522128" w:rsidP="007D3E05">
      <w:pPr>
        <w:tabs>
          <w:tab w:val="left" w:pos="4470"/>
        </w:tabs>
        <w:rPr>
          <w:rFonts w:cs="Times New Roman"/>
          <w:szCs w:val="24"/>
        </w:rPr>
      </w:pPr>
      <w:r w:rsidRPr="007D3E05">
        <w:rPr>
          <w:rFonts w:cs="Times New Roman"/>
          <w:szCs w:val="24"/>
        </w:rPr>
        <w:t>Summary of the recommendations.</w:t>
      </w:r>
    </w:p>
    <w:p w:rsidR="007D3E05" w:rsidRPr="007D3E05" w:rsidRDefault="00522128" w:rsidP="007D3E05">
      <w:pPr>
        <w:tabs>
          <w:tab w:val="left" w:pos="4470"/>
        </w:tabs>
        <w:rPr>
          <w:rFonts w:cs="Times New Roman"/>
          <w:szCs w:val="24"/>
        </w:rPr>
      </w:pPr>
      <w:r w:rsidRPr="007D3E05">
        <w:rPr>
          <w:rFonts w:cs="Times New Roman"/>
          <w:szCs w:val="24"/>
        </w:rPr>
        <w:t>a) A description of fixed and variable costs as they relate to the decision-making process.</w:t>
      </w:r>
    </w:p>
    <w:p w:rsidR="007D3E05" w:rsidRPr="007D3E05" w:rsidRDefault="007D3E05" w:rsidP="007D3E05">
      <w:pPr>
        <w:tabs>
          <w:tab w:val="left" w:pos="4470"/>
        </w:tabs>
        <w:rPr>
          <w:rFonts w:cs="Times New Roman"/>
          <w:szCs w:val="24"/>
        </w:rPr>
      </w:pPr>
    </w:p>
    <w:p w:rsidR="007D3E05" w:rsidRPr="007D3E05" w:rsidRDefault="00522128" w:rsidP="007D3E05">
      <w:pPr>
        <w:tabs>
          <w:tab w:val="left" w:pos="4470"/>
        </w:tabs>
        <w:rPr>
          <w:rFonts w:cs="Times New Roman"/>
          <w:szCs w:val="24"/>
        </w:rPr>
      </w:pPr>
      <w:r w:rsidRPr="007D3E05">
        <w:rPr>
          <w:rFonts w:cs="Times New Roman"/>
          <w:szCs w:val="24"/>
        </w:rPr>
        <w:t>b) Procedures f</w:t>
      </w:r>
      <w:r w:rsidRPr="007D3E05">
        <w:rPr>
          <w:rFonts w:cs="Times New Roman"/>
          <w:szCs w:val="24"/>
        </w:rPr>
        <w:t>or determining hospital charges that aren't readily apparent.</w:t>
      </w:r>
    </w:p>
    <w:p w:rsidR="007D3E05" w:rsidRPr="007D3E05" w:rsidRDefault="00522128" w:rsidP="007D3E05">
      <w:pPr>
        <w:tabs>
          <w:tab w:val="left" w:pos="4470"/>
        </w:tabs>
        <w:rPr>
          <w:rFonts w:cs="Times New Roman"/>
          <w:szCs w:val="24"/>
        </w:rPr>
      </w:pPr>
      <w:r w:rsidRPr="007D3E05">
        <w:rPr>
          <w:rFonts w:cs="Times New Roman"/>
          <w:szCs w:val="24"/>
        </w:rPr>
        <w:t>b) Decision-making authority in the event of a shutdown or a power outage.</w:t>
      </w:r>
    </w:p>
    <w:p w:rsidR="007D3E05" w:rsidRPr="007D3E05" w:rsidRDefault="00522128" w:rsidP="007D3E05">
      <w:pPr>
        <w:tabs>
          <w:tab w:val="left" w:pos="4470"/>
        </w:tabs>
        <w:rPr>
          <w:rFonts w:cs="Times New Roman"/>
          <w:szCs w:val="24"/>
        </w:rPr>
      </w:pPr>
      <w:r w:rsidRPr="007D3E05">
        <w:rPr>
          <w:rFonts w:cs="Times New Roman"/>
          <w:szCs w:val="24"/>
        </w:rPr>
        <w:t>d) A summary of the factors necessary to decrease resource waste in a hospital.</w:t>
      </w:r>
    </w:p>
    <w:p w:rsidR="007D3E05" w:rsidRPr="007D3E05" w:rsidRDefault="00522128" w:rsidP="007D3E05">
      <w:pPr>
        <w:tabs>
          <w:tab w:val="left" w:pos="4470"/>
        </w:tabs>
        <w:rPr>
          <w:rFonts w:cs="Times New Roman"/>
          <w:szCs w:val="24"/>
        </w:rPr>
      </w:pPr>
      <w:r w:rsidRPr="007D3E05">
        <w:rPr>
          <w:rFonts w:cs="Times New Roman"/>
          <w:szCs w:val="24"/>
        </w:rPr>
        <w:t xml:space="preserve">a) Consider the aspects that influence </w:t>
      </w:r>
      <w:r w:rsidRPr="007D3E05">
        <w:rPr>
          <w:rFonts w:cs="Times New Roman"/>
          <w:szCs w:val="24"/>
        </w:rPr>
        <w:t>hospital and economic forums' performance.</w:t>
      </w:r>
    </w:p>
    <w:p w:rsidR="004F5B90" w:rsidRPr="00235C63" w:rsidRDefault="00522128" w:rsidP="007D3E05">
      <w:pPr>
        <w:tabs>
          <w:tab w:val="left" w:pos="4470"/>
        </w:tabs>
        <w:rPr>
          <w:rFonts w:cs="Times New Roman"/>
          <w:szCs w:val="24"/>
        </w:rPr>
      </w:pPr>
      <w:r w:rsidRPr="007D3E05">
        <w:rPr>
          <w:rFonts w:cs="Times New Roman"/>
          <w:szCs w:val="24"/>
        </w:rPr>
        <w:t>f) Manage the day-to-day operations of cost.</w:t>
      </w:r>
    </w:p>
    <w:p w:rsidR="004F5B90" w:rsidRPr="00235C63" w:rsidRDefault="004F5B90" w:rsidP="00235C63">
      <w:pPr>
        <w:tabs>
          <w:tab w:val="left" w:pos="4470"/>
        </w:tabs>
        <w:rPr>
          <w:rFonts w:cs="Times New Roman"/>
          <w:szCs w:val="24"/>
        </w:rPr>
      </w:pPr>
    </w:p>
    <w:p w:rsidR="004F5B90" w:rsidRPr="00235C63" w:rsidRDefault="004F5B90" w:rsidP="00235C63">
      <w:pPr>
        <w:tabs>
          <w:tab w:val="left" w:pos="4470"/>
        </w:tabs>
        <w:rPr>
          <w:rFonts w:cs="Times New Roman"/>
          <w:szCs w:val="24"/>
        </w:rPr>
      </w:pPr>
    </w:p>
    <w:p w:rsidR="004F5B90" w:rsidRPr="00235C63" w:rsidRDefault="004F5B90" w:rsidP="00235C63">
      <w:pPr>
        <w:tabs>
          <w:tab w:val="left" w:pos="4470"/>
        </w:tabs>
        <w:rPr>
          <w:rFonts w:cs="Times New Roman"/>
          <w:szCs w:val="24"/>
        </w:rPr>
      </w:pPr>
    </w:p>
    <w:p w:rsidR="004F5B90" w:rsidRPr="00235C63" w:rsidRDefault="004F5B90" w:rsidP="00235C63">
      <w:pPr>
        <w:tabs>
          <w:tab w:val="left" w:pos="4470"/>
        </w:tabs>
        <w:rPr>
          <w:rFonts w:cs="Times New Roman"/>
          <w:szCs w:val="24"/>
        </w:rPr>
      </w:pPr>
    </w:p>
    <w:p w:rsidR="004F5B90" w:rsidRPr="00235C63" w:rsidRDefault="004F5B90" w:rsidP="00235C63">
      <w:pPr>
        <w:tabs>
          <w:tab w:val="left" w:pos="4470"/>
        </w:tabs>
        <w:rPr>
          <w:rFonts w:cs="Times New Roman"/>
          <w:szCs w:val="24"/>
        </w:rPr>
      </w:pPr>
    </w:p>
    <w:p w:rsidR="004F5B90" w:rsidRPr="00235C63" w:rsidRDefault="004F5B90" w:rsidP="00235C63">
      <w:pPr>
        <w:tabs>
          <w:tab w:val="left" w:pos="4470"/>
        </w:tabs>
        <w:rPr>
          <w:rFonts w:cs="Times New Roman"/>
          <w:szCs w:val="24"/>
        </w:rPr>
      </w:pPr>
    </w:p>
    <w:p w:rsidR="004F5B90" w:rsidRPr="00235C63" w:rsidRDefault="004F5B90" w:rsidP="00235C63">
      <w:pPr>
        <w:tabs>
          <w:tab w:val="left" w:pos="4470"/>
        </w:tabs>
        <w:rPr>
          <w:rFonts w:cs="Times New Roman"/>
          <w:szCs w:val="24"/>
        </w:rPr>
      </w:pPr>
    </w:p>
    <w:p w:rsidR="004F5B90" w:rsidRPr="00235C63" w:rsidRDefault="004F5B90" w:rsidP="00235C63">
      <w:pPr>
        <w:tabs>
          <w:tab w:val="left" w:pos="4470"/>
        </w:tabs>
        <w:rPr>
          <w:rFonts w:cs="Times New Roman"/>
          <w:szCs w:val="24"/>
        </w:rPr>
      </w:pPr>
    </w:p>
    <w:p w:rsidR="004F5B90" w:rsidRPr="00235C63" w:rsidRDefault="00522128" w:rsidP="00235C63">
      <w:pPr>
        <w:tabs>
          <w:tab w:val="left" w:pos="4470"/>
        </w:tabs>
        <w:jc w:val="center"/>
        <w:rPr>
          <w:rFonts w:cs="Times New Roman"/>
          <w:b/>
          <w:bCs/>
          <w:szCs w:val="24"/>
        </w:rPr>
      </w:pPr>
      <w:r w:rsidRPr="00235C63">
        <w:rPr>
          <w:rFonts w:cs="Times New Roman"/>
          <w:b/>
          <w:bCs/>
          <w:szCs w:val="24"/>
        </w:rPr>
        <w:t>Reference</w:t>
      </w:r>
    </w:p>
    <w:p w:rsidR="004F5B90" w:rsidRPr="00235C63" w:rsidRDefault="00522128" w:rsidP="00235C63">
      <w:pPr>
        <w:tabs>
          <w:tab w:val="left" w:pos="4470"/>
        </w:tabs>
        <w:ind w:firstLine="1152"/>
        <w:rPr>
          <w:rFonts w:cs="Times New Roman"/>
          <w:szCs w:val="24"/>
          <w:shd w:val="clear" w:color="auto" w:fill="FFFFFF"/>
        </w:rPr>
      </w:pPr>
      <w:r w:rsidRPr="00235C63">
        <w:rPr>
          <w:rFonts w:cs="Times New Roman"/>
          <w:szCs w:val="24"/>
          <w:shd w:val="clear" w:color="auto" w:fill="FFFFFF"/>
        </w:rPr>
        <w:t xml:space="preserve">Grass, F., Merchea, A., Mathis, K. L., Mishra, N., Heien, H., Sangaralingham, L. R., &amp; Larson, D. W. (2021). Cost drivers of locally advanced </w:t>
      </w:r>
      <w:r w:rsidRPr="00235C63">
        <w:rPr>
          <w:rFonts w:cs="Times New Roman"/>
          <w:szCs w:val="24"/>
          <w:shd w:val="clear" w:color="auto" w:fill="FFFFFF"/>
        </w:rPr>
        <w:t>rectal cancer treatment—An analysis of a leading healthcare insurer. </w:t>
      </w:r>
      <w:r w:rsidRPr="00235C63">
        <w:rPr>
          <w:rFonts w:cs="Times New Roman"/>
          <w:i/>
          <w:iCs/>
          <w:szCs w:val="24"/>
          <w:shd w:val="clear" w:color="auto" w:fill="FFFFFF"/>
        </w:rPr>
        <w:t>Journal of Surgical Oncology</w:t>
      </w:r>
      <w:r w:rsidRPr="00235C63">
        <w:rPr>
          <w:rFonts w:cs="Times New Roman"/>
          <w:szCs w:val="24"/>
          <w:shd w:val="clear" w:color="auto" w:fill="FFFFFF"/>
        </w:rPr>
        <w:t>, </w:t>
      </w:r>
      <w:r w:rsidRPr="00235C63">
        <w:rPr>
          <w:rFonts w:cs="Times New Roman"/>
          <w:i/>
          <w:iCs/>
          <w:szCs w:val="24"/>
          <w:shd w:val="clear" w:color="auto" w:fill="FFFFFF"/>
        </w:rPr>
        <w:t>123</w:t>
      </w:r>
      <w:r w:rsidRPr="00235C63">
        <w:rPr>
          <w:rFonts w:cs="Times New Roman"/>
          <w:szCs w:val="24"/>
          <w:shd w:val="clear" w:color="auto" w:fill="FFFFFF"/>
        </w:rPr>
        <w:t>(4), 1023-1029.</w:t>
      </w:r>
    </w:p>
    <w:p w:rsidR="00235C63" w:rsidRPr="00235C63" w:rsidRDefault="00522128" w:rsidP="00235C63">
      <w:pPr>
        <w:tabs>
          <w:tab w:val="left" w:pos="4470"/>
        </w:tabs>
        <w:ind w:firstLine="1152"/>
        <w:rPr>
          <w:rFonts w:cs="Times New Roman"/>
          <w:szCs w:val="24"/>
          <w:shd w:val="clear" w:color="auto" w:fill="FFFFFF"/>
        </w:rPr>
      </w:pPr>
      <w:r w:rsidRPr="00235C63">
        <w:rPr>
          <w:rFonts w:cs="Times New Roman"/>
          <w:szCs w:val="24"/>
          <w:shd w:val="clear" w:color="auto" w:fill="FFFFFF"/>
        </w:rPr>
        <w:t>Lucchese, A., Marino, A., &amp; Ranieri, L. (2020). Minimization of the Logistic Costs in Healthcare supply chain: a hybrid model. </w:t>
      </w:r>
      <w:r w:rsidRPr="00235C63">
        <w:rPr>
          <w:rFonts w:cs="Times New Roman"/>
          <w:i/>
          <w:iCs/>
          <w:szCs w:val="24"/>
          <w:shd w:val="clear" w:color="auto" w:fill="FFFFFF"/>
        </w:rPr>
        <w:t>Procedia Ma</w:t>
      </w:r>
      <w:r w:rsidRPr="00235C63">
        <w:rPr>
          <w:rFonts w:cs="Times New Roman"/>
          <w:i/>
          <w:iCs/>
          <w:szCs w:val="24"/>
          <w:shd w:val="clear" w:color="auto" w:fill="FFFFFF"/>
        </w:rPr>
        <w:t>nufacturing</w:t>
      </w:r>
      <w:r w:rsidRPr="00235C63">
        <w:rPr>
          <w:rFonts w:cs="Times New Roman"/>
          <w:szCs w:val="24"/>
          <w:shd w:val="clear" w:color="auto" w:fill="FFFFFF"/>
        </w:rPr>
        <w:t>, </w:t>
      </w:r>
      <w:r w:rsidRPr="00235C63">
        <w:rPr>
          <w:rFonts w:cs="Times New Roman"/>
          <w:i/>
          <w:iCs/>
          <w:szCs w:val="24"/>
          <w:shd w:val="clear" w:color="auto" w:fill="FFFFFF"/>
        </w:rPr>
        <w:t>42</w:t>
      </w:r>
      <w:r w:rsidRPr="00235C63">
        <w:rPr>
          <w:rFonts w:cs="Times New Roman"/>
          <w:szCs w:val="24"/>
          <w:shd w:val="clear" w:color="auto" w:fill="FFFFFF"/>
        </w:rPr>
        <w:t>, 76-83.</w:t>
      </w:r>
    </w:p>
    <w:p w:rsidR="00235C63" w:rsidRPr="00235C63" w:rsidRDefault="00522128" w:rsidP="00235C63">
      <w:pPr>
        <w:tabs>
          <w:tab w:val="left" w:pos="4470"/>
        </w:tabs>
        <w:ind w:firstLine="1152"/>
        <w:rPr>
          <w:rFonts w:cs="Times New Roman"/>
          <w:szCs w:val="24"/>
          <w:shd w:val="clear" w:color="auto" w:fill="FFFFFF"/>
        </w:rPr>
      </w:pPr>
      <w:r w:rsidRPr="00235C63">
        <w:rPr>
          <w:rFonts w:cs="Times New Roman"/>
          <w:szCs w:val="24"/>
          <w:shd w:val="clear" w:color="auto" w:fill="FFFFFF"/>
        </w:rPr>
        <w:t>Holbe, F., &amp; Walus, A. (2021). Pediatrics in Rural Regions Caught between Thrift and Ensuring Adequate Healthcare Provision. </w:t>
      </w:r>
      <w:r w:rsidRPr="00235C63">
        <w:rPr>
          <w:rFonts w:cs="Times New Roman"/>
          <w:i/>
          <w:iCs/>
          <w:szCs w:val="24"/>
          <w:shd w:val="clear" w:color="auto" w:fill="FFFFFF"/>
        </w:rPr>
        <w:t>Gesundheitswesen (Bundesverband der Arzte des Offentlichen Gesundheitsdienstes (Germany))</w:t>
      </w:r>
      <w:r w:rsidRPr="00235C63">
        <w:rPr>
          <w:rFonts w:cs="Times New Roman"/>
          <w:szCs w:val="24"/>
          <w:shd w:val="clear" w:color="auto" w:fill="FFFFFF"/>
        </w:rPr>
        <w:t>.</w:t>
      </w:r>
    </w:p>
    <w:p w:rsidR="00235C63" w:rsidRPr="00235C63" w:rsidRDefault="00522128" w:rsidP="00235C63">
      <w:pPr>
        <w:tabs>
          <w:tab w:val="left" w:pos="4470"/>
        </w:tabs>
        <w:ind w:firstLine="1152"/>
        <w:rPr>
          <w:rFonts w:cs="Times New Roman"/>
          <w:b/>
          <w:bCs/>
          <w:szCs w:val="24"/>
        </w:rPr>
      </w:pPr>
      <w:r w:rsidRPr="00235C63">
        <w:rPr>
          <w:rFonts w:cs="Times New Roman"/>
          <w:szCs w:val="24"/>
          <w:shd w:val="clear" w:color="auto" w:fill="FFFFFF"/>
        </w:rPr>
        <w:t>Kim, J. W., Lee,</w:t>
      </w:r>
      <w:r w:rsidRPr="00235C63">
        <w:rPr>
          <w:rFonts w:cs="Times New Roman"/>
          <w:szCs w:val="24"/>
          <w:shd w:val="clear" w:color="auto" w:fill="FFFFFF"/>
        </w:rPr>
        <w:t xml:space="preserve"> C. K., Lee, J. K., Jeong, S. J., Oh, S. J., Moon, J. R., ... &amp; Kim, H. J. (2019). Long-term evolution of direct healthcare costs for inflammatory bowel diseases: A population-based study (2006–2015). </w:t>
      </w:r>
      <w:r w:rsidRPr="00235C63">
        <w:rPr>
          <w:rFonts w:cs="Times New Roman"/>
          <w:i/>
          <w:iCs/>
          <w:szCs w:val="24"/>
          <w:shd w:val="clear" w:color="auto" w:fill="FFFFFF"/>
        </w:rPr>
        <w:t>Scandinavian journal of gastroenterology</w:t>
      </w:r>
      <w:r w:rsidRPr="00235C63">
        <w:rPr>
          <w:rFonts w:cs="Times New Roman"/>
          <w:szCs w:val="24"/>
          <w:shd w:val="clear" w:color="auto" w:fill="FFFFFF"/>
        </w:rPr>
        <w:t>, </w:t>
      </w:r>
      <w:r w:rsidRPr="00235C63">
        <w:rPr>
          <w:rFonts w:cs="Times New Roman"/>
          <w:i/>
          <w:iCs/>
          <w:szCs w:val="24"/>
          <w:shd w:val="clear" w:color="auto" w:fill="FFFFFF"/>
        </w:rPr>
        <w:t>54</w:t>
      </w:r>
      <w:r w:rsidRPr="00235C63">
        <w:rPr>
          <w:rFonts w:cs="Times New Roman"/>
          <w:szCs w:val="24"/>
          <w:shd w:val="clear" w:color="auto" w:fill="FFFFFF"/>
        </w:rPr>
        <w:t>(4), 419-42</w:t>
      </w:r>
      <w:r w:rsidRPr="00235C63">
        <w:rPr>
          <w:rFonts w:cs="Times New Roman"/>
          <w:szCs w:val="24"/>
          <w:shd w:val="clear" w:color="auto" w:fill="FFFFFF"/>
        </w:rPr>
        <w:t>6.</w:t>
      </w:r>
    </w:p>
    <w:p w:rsidR="004F5B90" w:rsidRPr="00235C63" w:rsidRDefault="004F5B90" w:rsidP="00235C63">
      <w:pPr>
        <w:tabs>
          <w:tab w:val="left" w:pos="4470"/>
        </w:tabs>
        <w:ind w:firstLine="1152"/>
        <w:rPr>
          <w:rFonts w:cs="Times New Roman"/>
          <w:szCs w:val="24"/>
        </w:rPr>
      </w:pPr>
    </w:p>
    <w:p w:rsidR="00235C63" w:rsidRPr="00235C63" w:rsidRDefault="00235C63" w:rsidP="00235C63">
      <w:pPr>
        <w:tabs>
          <w:tab w:val="left" w:pos="4470"/>
        </w:tabs>
        <w:jc w:val="center"/>
        <w:rPr>
          <w:rFonts w:cs="Times New Roman"/>
          <w:szCs w:val="24"/>
        </w:rPr>
      </w:pPr>
    </w:p>
    <w:sectPr w:rsidR="00235C63" w:rsidRPr="00235C6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22128">
      <w:pPr>
        <w:spacing w:after="0" w:line="240" w:lineRule="auto"/>
      </w:pPr>
      <w:r>
        <w:separator/>
      </w:r>
    </w:p>
  </w:endnote>
  <w:endnote w:type="continuationSeparator" w:id="0">
    <w:p w:rsidR="00000000" w:rsidRDefault="00522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22128">
      <w:pPr>
        <w:spacing w:after="0" w:line="240" w:lineRule="auto"/>
      </w:pPr>
      <w:r>
        <w:separator/>
      </w:r>
    </w:p>
  </w:footnote>
  <w:footnote w:type="continuationSeparator" w:id="0">
    <w:p w:rsidR="00000000" w:rsidRDefault="00522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96224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666BBA" w:rsidRDefault="0052212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66BBA" w:rsidRDefault="00666B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78015D"/>
    <w:multiLevelType w:val="hybridMultilevel"/>
    <w:tmpl w:val="DC6A640E"/>
    <w:lvl w:ilvl="0" w:tplc="515A73EE">
      <w:start w:val="1"/>
      <w:numFmt w:val="lowerLetter"/>
      <w:lvlText w:val="%1)"/>
      <w:lvlJc w:val="left"/>
      <w:pPr>
        <w:ind w:left="1440" w:hanging="360"/>
      </w:pPr>
    </w:lvl>
    <w:lvl w:ilvl="1" w:tplc="E79CFFD6" w:tentative="1">
      <w:start w:val="1"/>
      <w:numFmt w:val="lowerLetter"/>
      <w:lvlText w:val="%2."/>
      <w:lvlJc w:val="left"/>
      <w:pPr>
        <w:ind w:left="2160" w:hanging="360"/>
      </w:pPr>
    </w:lvl>
    <w:lvl w:ilvl="2" w:tplc="597EB6CA" w:tentative="1">
      <w:start w:val="1"/>
      <w:numFmt w:val="lowerRoman"/>
      <w:lvlText w:val="%3."/>
      <w:lvlJc w:val="right"/>
      <w:pPr>
        <w:ind w:left="2880" w:hanging="180"/>
      </w:pPr>
    </w:lvl>
    <w:lvl w:ilvl="3" w:tplc="1A4404DA" w:tentative="1">
      <w:start w:val="1"/>
      <w:numFmt w:val="decimal"/>
      <w:lvlText w:val="%4."/>
      <w:lvlJc w:val="left"/>
      <w:pPr>
        <w:ind w:left="3600" w:hanging="360"/>
      </w:pPr>
    </w:lvl>
    <w:lvl w:ilvl="4" w:tplc="77101F26" w:tentative="1">
      <w:start w:val="1"/>
      <w:numFmt w:val="lowerLetter"/>
      <w:lvlText w:val="%5."/>
      <w:lvlJc w:val="left"/>
      <w:pPr>
        <w:ind w:left="4320" w:hanging="360"/>
      </w:pPr>
    </w:lvl>
    <w:lvl w:ilvl="5" w:tplc="802479BC" w:tentative="1">
      <w:start w:val="1"/>
      <w:numFmt w:val="lowerRoman"/>
      <w:lvlText w:val="%6."/>
      <w:lvlJc w:val="right"/>
      <w:pPr>
        <w:ind w:left="5040" w:hanging="180"/>
      </w:pPr>
    </w:lvl>
    <w:lvl w:ilvl="6" w:tplc="ADD8AC9E" w:tentative="1">
      <w:start w:val="1"/>
      <w:numFmt w:val="decimal"/>
      <w:lvlText w:val="%7."/>
      <w:lvlJc w:val="left"/>
      <w:pPr>
        <w:ind w:left="5760" w:hanging="360"/>
      </w:pPr>
    </w:lvl>
    <w:lvl w:ilvl="7" w:tplc="B08804C4" w:tentative="1">
      <w:start w:val="1"/>
      <w:numFmt w:val="lowerLetter"/>
      <w:lvlText w:val="%8."/>
      <w:lvlJc w:val="left"/>
      <w:pPr>
        <w:ind w:left="6480" w:hanging="360"/>
      </w:pPr>
    </w:lvl>
    <w:lvl w:ilvl="8" w:tplc="3154A94E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BBA"/>
    <w:rsid w:val="001046E9"/>
    <w:rsid w:val="0013501E"/>
    <w:rsid w:val="001D5AAF"/>
    <w:rsid w:val="00235C63"/>
    <w:rsid w:val="002966C4"/>
    <w:rsid w:val="00363E77"/>
    <w:rsid w:val="00461823"/>
    <w:rsid w:val="004F5B90"/>
    <w:rsid w:val="00522128"/>
    <w:rsid w:val="00666BBA"/>
    <w:rsid w:val="007D3E05"/>
    <w:rsid w:val="009E75C2"/>
    <w:rsid w:val="00A217F6"/>
    <w:rsid w:val="00EB1A98"/>
    <w:rsid w:val="00EC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14A983A5-33CA-4652-99CD-77F06EAA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BBA"/>
    <w:pPr>
      <w:spacing w:line="480" w:lineRule="auto"/>
      <w:ind w:left="72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BBA"/>
  </w:style>
  <w:style w:type="paragraph" w:styleId="Footer">
    <w:name w:val="footer"/>
    <w:basedOn w:val="Normal"/>
    <w:link w:val="FooterChar"/>
    <w:uiPriority w:val="99"/>
    <w:unhideWhenUsed/>
    <w:rsid w:val="00666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BBA"/>
  </w:style>
  <w:style w:type="paragraph" w:styleId="ListParagraph">
    <w:name w:val="List Paragraph"/>
    <w:basedOn w:val="Normal"/>
    <w:uiPriority w:val="34"/>
    <w:qFormat/>
    <w:rsid w:val="004F5B9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xplaind.com/46032/fixed-cost-behavior.png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nyoike31@gmail.com</cp:lastModifiedBy>
  <cp:revision>2</cp:revision>
  <dcterms:created xsi:type="dcterms:W3CDTF">2021-06-06T22:32:00Z</dcterms:created>
  <dcterms:modified xsi:type="dcterms:W3CDTF">2021-06-06T22:32:00Z</dcterms:modified>
</cp:coreProperties>
</file>